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B4928" w14:textId="77777777" w:rsidR="0060777E" w:rsidRDefault="00717947" w:rsidP="00B953CD">
      <w:pPr>
        <w:pStyle w:val="a3"/>
        <w:ind w:left="0"/>
      </w:pPr>
      <w:r>
        <w:rPr>
          <w:lang w:val="en-US"/>
        </w:rPr>
        <w:t>Corporate action notice / Insider information disclosure/</w:t>
      </w:r>
    </w:p>
    <w:p w14:paraId="2542470B" w14:textId="77777777" w:rsidR="0060777E" w:rsidRDefault="00717947" w:rsidP="00B953CD">
      <w:pPr>
        <w:pStyle w:val="a3"/>
        <w:ind w:left="0"/>
      </w:pPr>
      <w:r>
        <w:rPr>
          <w:lang w:val="en-US"/>
        </w:rPr>
        <w:t>"On changing the starting date of the securities placement"</w:t>
      </w:r>
    </w:p>
    <w:p w14:paraId="7AAC3DB8" w14:textId="77777777" w:rsidR="0060777E" w:rsidRPr="00B953CD" w:rsidRDefault="00717947" w:rsidP="00B953CD">
      <w:pPr>
        <w:rPr>
          <w:b/>
          <w:sz w:val="12"/>
          <w:szCs w:val="12"/>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987"/>
        <w:gridCol w:w="1291"/>
        <w:gridCol w:w="1344"/>
        <w:gridCol w:w="690"/>
        <w:gridCol w:w="1418"/>
        <w:gridCol w:w="2809"/>
      </w:tblGrid>
      <w:tr w:rsidR="004530E8" w14:paraId="7BE2EA1A" w14:textId="77777777" w:rsidTr="00B953CD">
        <w:trPr>
          <w:trHeight w:val="20"/>
        </w:trPr>
        <w:tc>
          <w:tcPr>
            <w:tcW w:w="5000" w:type="pct"/>
            <w:gridSpan w:val="7"/>
          </w:tcPr>
          <w:p w14:paraId="3CC8BC0C" w14:textId="77777777" w:rsidR="0060777E" w:rsidRDefault="00717947" w:rsidP="00273A71">
            <w:pPr>
              <w:pStyle w:val="TableParagraph"/>
              <w:ind w:left="0"/>
              <w:jc w:val="center"/>
              <w:rPr>
                <w:sz w:val="24"/>
              </w:rPr>
            </w:pPr>
            <w:r>
              <w:rPr>
                <w:sz w:val="24"/>
                <w:lang w:val="en-US"/>
              </w:rPr>
              <w:t>1. General</w:t>
            </w:r>
          </w:p>
        </w:tc>
      </w:tr>
      <w:tr w:rsidR="004530E8" w14:paraId="2EB0B871" w14:textId="77777777" w:rsidTr="00B953CD">
        <w:trPr>
          <w:trHeight w:val="20"/>
        </w:trPr>
        <w:tc>
          <w:tcPr>
            <w:tcW w:w="2462" w:type="pct"/>
            <w:gridSpan w:val="4"/>
          </w:tcPr>
          <w:p w14:paraId="4B3BEE2B" w14:textId="77777777" w:rsidR="0060777E" w:rsidRDefault="00717947" w:rsidP="00B953CD">
            <w:pPr>
              <w:pStyle w:val="TableParagraph"/>
              <w:tabs>
                <w:tab w:val="left" w:pos="1590"/>
                <w:tab w:val="left" w:pos="3110"/>
              </w:tabs>
              <w:ind w:left="0"/>
              <w:rPr>
                <w:sz w:val="24"/>
              </w:rPr>
            </w:pPr>
            <w:r>
              <w:rPr>
                <w:sz w:val="24"/>
                <w:lang w:val="en-US"/>
              </w:rPr>
              <w:t>1.1. Full corporate name of the Issuer</w:t>
            </w:r>
          </w:p>
        </w:tc>
        <w:tc>
          <w:tcPr>
            <w:tcW w:w="2538" w:type="pct"/>
            <w:gridSpan w:val="3"/>
          </w:tcPr>
          <w:p w14:paraId="552CB1E0" w14:textId="77777777" w:rsidR="0060777E" w:rsidRDefault="00717947" w:rsidP="00B953CD">
            <w:pPr>
              <w:pStyle w:val="TableParagraph"/>
              <w:ind w:left="0"/>
              <w:rPr>
                <w:b/>
                <w:sz w:val="24"/>
              </w:rPr>
            </w:pPr>
            <w:r>
              <w:rPr>
                <w:b/>
                <w:sz w:val="24"/>
                <w:lang w:val="en-US"/>
              </w:rPr>
              <w:t xml:space="preserve">Public Joint Stock Company "Interregional Distribution Grid Company of the </w:t>
            </w:r>
            <w:r>
              <w:rPr>
                <w:b/>
                <w:sz w:val="24"/>
                <w:lang w:val="en-US"/>
              </w:rPr>
              <w:t>South”</w:t>
            </w:r>
          </w:p>
        </w:tc>
      </w:tr>
      <w:tr w:rsidR="004530E8" w14:paraId="42C5BD48" w14:textId="77777777" w:rsidTr="00B953CD">
        <w:trPr>
          <w:trHeight w:val="20"/>
        </w:trPr>
        <w:tc>
          <w:tcPr>
            <w:tcW w:w="2462" w:type="pct"/>
            <w:gridSpan w:val="4"/>
          </w:tcPr>
          <w:p w14:paraId="4CA08744" w14:textId="77777777" w:rsidR="0060777E" w:rsidRDefault="00717947" w:rsidP="00B953CD">
            <w:pPr>
              <w:pStyle w:val="TableParagraph"/>
              <w:tabs>
                <w:tab w:val="left" w:pos="3421"/>
              </w:tabs>
              <w:ind w:left="0"/>
              <w:rPr>
                <w:sz w:val="24"/>
              </w:rPr>
            </w:pPr>
            <w:r>
              <w:rPr>
                <w:sz w:val="24"/>
                <w:lang w:val="en-US"/>
              </w:rPr>
              <w:t>1.2. Abbreviated corporate name of the Issuer</w:t>
            </w:r>
          </w:p>
        </w:tc>
        <w:tc>
          <w:tcPr>
            <w:tcW w:w="2538" w:type="pct"/>
            <w:gridSpan w:val="3"/>
          </w:tcPr>
          <w:p w14:paraId="457208BB" w14:textId="77777777" w:rsidR="0060777E" w:rsidRDefault="00717947" w:rsidP="00B953CD">
            <w:pPr>
              <w:pStyle w:val="TableParagraph"/>
              <w:ind w:left="0"/>
              <w:rPr>
                <w:b/>
                <w:sz w:val="24"/>
              </w:rPr>
            </w:pPr>
            <w:r>
              <w:rPr>
                <w:b/>
                <w:sz w:val="24"/>
                <w:lang w:val="en-US"/>
              </w:rPr>
              <w:t>IDGC of the South, PJSC</w:t>
            </w:r>
          </w:p>
        </w:tc>
      </w:tr>
      <w:tr w:rsidR="004530E8" w14:paraId="4A92F614" w14:textId="77777777" w:rsidTr="00B953CD">
        <w:trPr>
          <w:trHeight w:val="20"/>
        </w:trPr>
        <w:tc>
          <w:tcPr>
            <w:tcW w:w="2462" w:type="pct"/>
            <w:gridSpan w:val="4"/>
          </w:tcPr>
          <w:p w14:paraId="36FB5AB5" w14:textId="77777777" w:rsidR="0060777E" w:rsidRDefault="00717947" w:rsidP="00B953CD">
            <w:pPr>
              <w:pStyle w:val="TableParagraph"/>
              <w:ind w:left="0"/>
              <w:rPr>
                <w:sz w:val="24"/>
              </w:rPr>
            </w:pPr>
            <w:r>
              <w:rPr>
                <w:sz w:val="24"/>
                <w:lang w:val="en-US"/>
              </w:rPr>
              <w:t>1.3. Location of the Issuer</w:t>
            </w:r>
          </w:p>
        </w:tc>
        <w:tc>
          <w:tcPr>
            <w:tcW w:w="2538" w:type="pct"/>
            <w:gridSpan w:val="3"/>
          </w:tcPr>
          <w:p w14:paraId="63D3ACA4" w14:textId="77777777" w:rsidR="0060777E" w:rsidRDefault="00717947" w:rsidP="00B953CD">
            <w:pPr>
              <w:pStyle w:val="TableParagraph"/>
              <w:ind w:left="0"/>
              <w:rPr>
                <w:b/>
                <w:sz w:val="24"/>
              </w:rPr>
            </w:pPr>
            <w:r>
              <w:rPr>
                <w:b/>
                <w:sz w:val="24"/>
                <w:lang w:val="en-US"/>
              </w:rPr>
              <w:t>Rostov-on-Don, Russian Federation</w:t>
            </w:r>
          </w:p>
        </w:tc>
      </w:tr>
      <w:tr w:rsidR="004530E8" w14:paraId="25F954F6" w14:textId="77777777" w:rsidTr="00B953CD">
        <w:trPr>
          <w:trHeight w:val="20"/>
        </w:trPr>
        <w:tc>
          <w:tcPr>
            <w:tcW w:w="2462" w:type="pct"/>
            <w:gridSpan w:val="4"/>
          </w:tcPr>
          <w:p w14:paraId="02F749B1" w14:textId="77777777" w:rsidR="0060777E" w:rsidRDefault="00717947" w:rsidP="00B953CD">
            <w:pPr>
              <w:pStyle w:val="TableParagraph"/>
              <w:ind w:left="0"/>
              <w:rPr>
                <w:sz w:val="24"/>
              </w:rPr>
            </w:pPr>
            <w:r>
              <w:rPr>
                <w:sz w:val="24"/>
                <w:lang w:val="en-US"/>
              </w:rPr>
              <w:t>1.4. OGRN of the Issuer</w:t>
            </w:r>
          </w:p>
        </w:tc>
        <w:tc>
          <w:tcPr>
            <w:tcW w:w="2538" w:type="pct"/>
            <w:gridSpan w:val="3"/>
          </w:tcPr>
          <w:p w14:paraId="63D2B868" w14:textId="77777777" w:rsidR="0060777E" w:rsidRDefault="00717947" w:rsidP="00B953CD">
            <w:pPr>
              <w:pStyle w:val="TableParagraph"/>
              <w:ind w:left="0"/>
              <w:rPr>
                <w:b/>
                <w:sz w:val="24"/>
              </w:rPr>
            </w:pPr>
            <w:r>
              <w:rPr>
                <w:b/>
                <w:sz w:val="24"/>
                <w:lang w:val="en-US"/>
              </w:rPr>
              <w:t>1076164009096</w:t>
            </w:r>
          </w:p>
        </w:tc>
      </w:tr>
      <w:tr w:rsidR="004530E8" w14:paraId="598D9A3B" w14:textId="77777777" w:rsidTr="00B953CD">
        <w:trPr>
          <w:trHeight w:val="20"/>
        </w:trPr>
        <w:tc>
          <w:tcPr>
            <w:tcW w:w="2462" w:type="pct"/>
            <w:gridSpan w:val="4"/>
          </w:tcPr>
          <w:p w14:paraId="693D306A" w14:textId="77777777" w:rsidR="0060777E" w:rsidRDefault="00717947" w:rsidP="00B953CD">
            <w:pPr>
              <w:pStyle w:val="TableParagraph"/>
              <w:ind w:left="0"/>
              <w:rPr>
                <w:sz w:val="24"/>
              </w:rPr>
            </w:pPr>
            <w:r>
              <w:rPr>
                <w:sz w:val="24"/>
                <w:lang w:val="en-US"/>
              </w:rPr>
              <w:t>1.5. TIN of the Issuer</w:t>
            </w:r>
          </w:p>
        </w:tc>
        <w:tc>
          <w:tcPr>
            <w:tcW w:w="2538" w:type="pct"/>
            <w:gridSpan w:val="3"/>
          </w:tcPr>
          <w:p w14:paraId="6B77448C" w14:textId="77777777" w:rsidR="0060777E" w:rsidRDefault="00717947" w:rsidP="00B953CD">
            <w:pPr>
              <w:pStyle w:val="TableParagraph"/>
              <w:ind w:left="0"/>
              <w:rPr>
                <w:b/>
                <w:sz w:val="24"/>
              </w:rPr>
            </w:pPr>
            <w:r>
              <w:rPr>
                <w:b/>
                <w:sz w:val="24"/>
                <w:lang w:val="en-US"/>
              </w:rPr>
              <w:t>6164266561</w:t>
            </w:r>
          </w:p>
        </w:tc>
      </w:tr>
      <w:tr w:rsidR="004530E8" w14:paraId="2A4D7870" w14:textId="77777777" w:rsidTr="00B953CD">
        <w:trPr>
          <w:trHeight w:val="20"/>
        </w:trPr>
        <w:tc>
          <w:tcPr>
            <w:tcW w:w="2462" w:type="pct"/>
            <w:gridSpan w:val="4"/>
          </w:tcPr>
          <w:p w14:paraId="2862AE83" w14:textId="77777777" w:rsidR="0060777E" w:rsidRDefault="00717947" w:rsidP="00B953CD">
            <w:pPr>
              <w:pStyle w:val="TableParagraph"/>
              <w:tabs>
                <w:tab w:val="left" w:pos="2477"/>
                <w:tab w:val="left" w:pos="3571"/>
              </w:tabs>
              <w:ind w:left="0"/>
              <w:rPr>
                <w:sz w:val="24"/>
              </w:rPr>
            </w:pPr>
            <w:r>
              <w:rPr>
                <w:sz w:val="24"/>
                <w:lang w:val="en-US"/>
              </w:rPr>
              <w:t xml:space="preserve">1.6. Unique code of the Issuer, </w:t>
            </w:r>
            <w:r>
              <w:rPr>
                <w:sz w:val="24"/>
                <w:lang w:val="en-US"/>
              </w:rPr>
              <w:t>assigned by the registering authority</w:t>
            </w:r>
          </w:p>
        </w:tc>
        <w:tc>
          <w:tcPr>
            <w:tcW w:w="2538" w:type="pct"/>
            <w:gridSpan w:val="3"/>
            <w:vAlign w:val="center"/>
          </w:tcPr>
          <w:p w14:paraId="6CCDB2B3" w14:textId="77777777" w:rsidR="0060777E" w:rsidRDefault="00717947" w:rsidP="00B953CD">
            <w:pPr>
              <w:pStyle w:val="TableParagraph"/>
              <w:ind w:left="0"/>
              <w:rPr>
                <w:b/>
                <w:sz w:val="24"/>
              </w:rPr>
            </w:pPr>
            <w:r>
              <w:rPr>
                <w:b/>
                <w:sz w:val="24"/>
                <w:lang w:val="en-US"/>
              </w:rPr>
              <w:t>34956-Е</w:t>
            </w:r>
          </w:p>
        </w:tc>
      </w:tr>
      <w:tr w:rsidR="004530E8" w14:paraId="7EF68131" w14:textId="77777777" w:rsidTr="00B953CD">
        <w:trPr>
          <w:trHeight w:val="20"/>
        </w:trPr>
        <w:tc>
          <w:tcPr>
            <w:tcW w:w="2462" w:type="pct"/>
            <w:gridSpan w:val="4"/>
          </w:tcPr>
          <w:p w14:paraId="79121A74" w14:textId="77777777" w:rsidR="0060777E" w:rsidRDefault="00717947" w:rsidP="00B953CD">
            <w:pPr>
              <w:pStyle w:val="TableParagraph"/>
              <w:ind w:left="0"/>
              <w:jc w:val="both"/>
              <w:rPr>
                <w:sz w:val="24"/>
              </w:rPr>
            </w:pPr>
            <w:r>
              <w:rPr>
                <w:sz w:val="24"/>
                <w:lang w:val="en-US"/>
              </w:rPr>
              <w:t xml:space="preserve">1.7. Address of the page provided by one of the distributors of information on the securities market in the information telecommunication network of the Internet, as well as the address of the page in the </w:t>
            </w:r>
            <w:r>
              <w:rPr>
                <w:sz w:val="24"/>
                <w:lang w:val="en-US"/>
              </w:rPr>
              <w:t>Internet, the electronic address of which includes the domain name, the rights to which belong to the issuer</w:t>
            </w:r>
          </w:p>
        </w:tc>
        <w:tc>
          <w:tcPr>
            <w:tcW w:w="2538" w:type="pct"/>
            <w:gridSpan w:val="3"/>
          </w:tcPr>
          <w:p w14:paraId="468DD611" w14:textId="77777777" w:rsidR="00B953CD" w:rsidRDefault="00717947" w:rsidP="00B953CD">
            <w:pPr>
              <w:pStyle w:val="TableParagraph"/>
              <w:ind w:left="0"/>
              <w:rPr>
                <w:b/>
                <w:sz w:val="24"/>
              </w:rPr>
            </w:pPr>
            <w:hyperlink r:id="rId5" w:history="1">
              <w:r>
                <w:rPr>
                  <w:b/>
                  <w:sz w:val="24"/>
                  <w:u w:val="thick"/>
                  <w:lang w:val="en-US"/>
                </w:rPr>
                <w:t>http://www.mrsk-yuga.ru</w:t>
              </w:r>
            </w:hyperlink>
            <w:r>
              <w:rPr>
                <w:b/>
                <w:sz w:val="24"/>
                <w:lang w:val="en-US"/>
              </w:rPr>
              <w:t xml:space="preserve"> </w:t>
            </w:r>
          </w:p>
          <w:p w14:paraId="4A5A22D1" w14:textId="77777777" w:rsidR="0060777E" w:rsidRPr="00B953CD" w:rsidRDefault="00717947" w:rsidP="00B953CD">
            <w:pPr>
              <w:pStyle w:val="TableParagraph"/>
              <w:ind w:left="0"/>
              <w:rPr>
                <w:b/>
                <w:sz w:val="24"/>
              </w:rPr>
            </w:pPr>
            <w:hyperlink r:id="rId6" w:history="1">
              <w:r>
                <w:rPr>
                  <w:b/>
                  <w:sz w:val="24"/>
                  <w:u w:val="thick"/>
                  <w:lang w:val="en-US"/>
                </w:rPr>
                <w:t>http://www.e</w:t>
              </w:r>
              <w:r>
                <w:rPr>
                  <w:b/>
                  <w:sz w:val="24"/>
                  <w:u w:val="thick"/>
                  <w:lang w:val="en-US"/>
                </w:rPr>
                <w:t>-</w:t>
              </w:r>
            </w:hyperlink>
            <w:hyperlink r:id="rId7" w:history="1">
              <w:r w:rsidRPr="00B953CD">
                <w:rPr>
                  <w:b/>
                  <w:sz w:val="24"/>
                  <w:u w:val="thick"/>
                  <w:lang w:val="en-US"/>
                </w:rPr>
                <w:t>disclosure.ru/portal/company.aspx?id=11999</w:t>
              </w:r>
            </w:hyperlink>
          </w:p>
        </w:tc>
      </w:tr>
      <w:tr w:rsidR="004530E8" w14:paraId="10DEBBEF" w14:textId="77777777" w:rsidTr="00B953CD">
        <w:trPr>
          <w:trHeight w:val="20"/>
        </w:trPr>
        <w:tc>
          <w:tcPr>
            <w:tcW w:w="2462" w:type="pct"/>
            <w:gridSpan w:val="4"/>
          </w:tcPr>
          <w:p w14:paraId="51C729C3" w14:textId="77777777" w:rsidR="0060777E" w:rsidRDefault="00717947" w:rsidP="00B953CD">
            <w:pPr>
              <w:pStyle w:val="TableParagraph"/>
              <w:tabs>
                <w:tab w:val="left" w:pos="961"/>
                <w:tab w:val="left" w:pos="1931"/>
                <w:tab w:val="left" w:pos="3713"/>
              </w:tabs>
              <w:ind w:left="0"/>
              <w:rPr>
                <w:sz w:val="24"/>
              </w:rPr>
            </w:pPr>
            <w:r>
              <w:rPr>
                <w:sz w:val="24"/>
                <w:lang w:val="en-US"/>
              </w:rPr>
              <w:t>1.8. Event effective date (material fact) of which the message is composed (if applicable):</w:t>
            </w:r>
          </w:p>
        </w:tc>
        <w:tc>
          <w:tcPr>
            <w:tcW w:w="2538" w:type="pct"/>
            <w:gridSpan w:val="3"/>
            <w:vAlign w:val="center"/>
          </w:tcPr>
          <w:p w14:paraId="609A0C82" w14:textId="77777777" w:rsidR="0060777E" w:rsidRDefault="00717947" w:rsidP="00B953CD">
            <w:pPr>
              <w:pStyle w:val="TableParagraph"/>
              <w:ind w:left="0"/>
              <w:rPr>
                <w:b/>
                <w:sz w:val="24"/>
              </w:rPr>
            </w:pPr>
            <w:r>
              <w:rPr>
                <w:b/>
                <w:sz w:val="24"/>
                <w:lang w:val="en-US"/>
              </w:rPr>
              <w:t>December 23, 2019</w:t>
            </w:r>
          </w:p>
        </w:tc>
      </w:tr>
      <w:tr w:rsidR="004530E8" w14:paraId="63F81A5E" w14:textId="77777777" w:rsidTr="00B953CD">
        <w:trPr>
          <w:trHeight w:val="20"/>
        </w:trPr>
        <w:tc>
          <w:tcPr>
            <w:tcW w:w="5000" w:type="pct"/>
            <w:gridSpan w:val="7"/>
          </w:tcPr>
          <w:p w14:paraId="4BDC7818" w14:textId="77777777" w:rsidR="0060777E" w:rsidRDefault="00717947" w:rsidP="00273A71">
            <w:pPr>
              <w:pStyle w:val="TableParagraph"/>
              <w:ind w:left="0"/>
              <w:jc w:val="center"/>
              <w:rPr>
                <w:sz w:val="24"/>
              </w:rPr>
            </w:pPr>
            <w:r>
              <w:rPr>
                <w:sz w:val="24"/>
                <w:lang w:val="en-US"/>
              </w:rPr>
              <w:t>2. Notice content</w:t>
            </w:r>
          </w:p>
        </w:tc>
      </w:tr>
      <w:tr w:rsidR="004530E8" w14:paraId="4BF10A34" w14:textId="77777777" w:rsidTr="00273A71">
        <w:trPr>
          <w:trHeight w:val="20"/>
        </w:trPr>
        <w:tc>
          <w:tcPr>
            <w:tcW w:w="5000" w:type="pct"/>
            <w:gridSpan w:val="7"/>
            <w:tcBorders>
              <w:bottom w:val="single" w:sz="4" w:space="0" w:color="000000"/>
            </w:tcBorders>
          </w:tcPr>
          <w:p w14:paraId="40186655" w14:textId="77777777" w:rsidR="00B953CD" w:rsidRDefault="00717947" w:rsidP="00B953CD">
            <w:pPr>
              <w:pStyle w:val="TableParagraph"/>
              <w:numPr>
                <w:ilvl w:val="1"/>
                <w:numId w:val="3"/>
              </w:numPr>
              <w:tabs>
                <w:tab w:val="left" w:pos="516"/>
              </w:tabs>
              <w:ind w:left="0" w:firstLine="0"/>
              <w:jc w:val="both"/>
              <w:rPr>
                <w:b/>
                <w:i/>
                <w:sz w:val="24"/>
              </w:rPr>
            </w:pPr>
            <w:r>
              <w:rPr>
                <w:sz w:val="24"/>
                <w:lang w:val="en-US"/>
              </w:rPr>
              <w:t xml:space="preserve">Type, category, series and other identification features of securities: </w:t>
            </w:r>
            <w:r>
              <w:rPr>
                <w:b/>
                <w:i/>
                <w:sz w:val="24"/>
                <w:lang w:val="en-US"/>
              </w:rPr>
              <w:t>registered ordinary uncertificated shares, state registration number of additional issue of securities: 1-01-34956-E, date of state registration of the additional securities issue: Dec</w:t>
            </w:r>
            <w:r>
              <w:rPr>
                <w:b/>
                <w:i/>
                <w:sz w:val="24"/>
                <w:lang w:val="en-US"/>
              </w:rPr>
              <w:t>ember 19, 2019, International Securities Identification Number (ISIN) is RU000A0JPPG8.</w:t>
            </w:r>
          </w:p>
          <w:p w14:paraId="031AB116" w14:textId="77777777" w:rsidR="00B953CD" w:rsidRDefault="00717947" w:rsidP="00B953CD">
            <w:pPr>
              <w:pStyle w:val="TableParagraph"/>
              <w:ind w:left="0"/>
              <w:rPr>
                <w:b/>
                <w:sz w:val="23"/>
              </w:rPr>
            </w:pPr>
          </w:p>
          <w:p w14:paraId="3208432E" w14:textId="77777777" w:rsidR="00B953CD" w:rsidRDefault="00717947" w:rsidP="00B953CD">
            <w:pPr>
              <w:pStyle w:val="TableParagraph"/>
              <w:numPr>
                <w:ilvl w:val="1"/>
                <w:numId w:val="3"/>
              </w:numPr>
              <w:tabs>
                <w:tab w:val="left" w:pos="449"/>
              </w:tabs>
              <w:ind w:left="0" w:firstLine="0"/>
              <w:jc w:val="both"/>
              <w:rPr>
                <w:b/>
                <w:i/>
                <w:sz w:val="24"/>
              </w:rPr>
            </w:pPr>
            <w:r>
              <w:rPr>
                <w:sz w:val="24"/>
                <w:lang w:val="en-US"/>
              </w:rPr>
              <w:t xml:space="preserve">Maturity (for bonds and options of the issuer): </w:t>
            </w:r>
            <w:r>
              <w:rPr>
                <w:b/>
                <w:i/>
                <w:sz w:val="24"/>
                <w:lang w:val="en-US"/>
              </w:rPr>
              <w:t>not applicable.</w:t>
            </w:r>
          </w:p>
          <w:p w14:paraId="0205F94F" w14:textId="77777777" w:rsidR="00B953CD" w:rsidRDefault="00717947" w:rsidP="00B953CD">
            <w:pPr>
              <w:pStyle w:val="TableParagraph"/>
              <w:ind w:left="0"/>
              <w:rPr>
                <w:b/>
                <w:sz w:val="24"/>
              </w:rPr>
            </w:pPr>
          </w:p>
          <w:p w14:paraId="3A39FBA7" w14:textId="77777777" w:rsidR="00B953CD" w:rsidRDefault="00717947" w:rsidP="00B953CD">
            <w:pPr>
              <w:pStyle w:val="TableParagraph"/>
              <w:numPr>
                <w:ilvl w:val="1"/>
                <w:numId w:val="3"/>
              </w:numPr>
              <w:tabs>
                <w:tab w:val="left" w:pos="566"/>
              </w:tabs>
              <w:ind w:left="0" w:firstLine="0"/>
              <w:rPr>
                <w:b/>
                <w:i/>
                <w:sz w:val="24"/>
              </w:rPr>
            </w:pPr>
            <w:r>
              <w:rPr>
                <w:sz w:val="24"/>
                <w:lang w:val="en-US"/>
              </w:rPr>
              <w:t xml:space="preserve">State registration number (additional issue) of securities and date of state registration: </w:t>
            </w:r>
            <w:r>
              <w:rPr>
                <w:b/>
                <w:i/>
                <w:sz w:val="24"/>
                <w:lang w:val="en-US"/>
              </w:rPr>
              <w:t>1-01-34956-E</w:t>
            </w:r>
            <w:r>
              <w:rPr>
                <w:b/>
                <w:i/>
                <w:sz w:val="24"/>
                <w:lang w:val="en-US"/>
              </w:rPr>
              <w:t>, December  "19", 2019</w:t>
            </w:r>
          </w:p>
          <w:p w14:paraId="5D781919" w14:textId="77777777" w:rsidR="00B953CD" w:rsidRDefault="00717947" w:rsidP="00B953CD">
            <w:pPr>
              <w:pStyle w:val="TableParagraph"/>
              <w:ind w:left="0"/>
              <w:rPr>
                <w:b/>
                <w:sz w:val="24"/>
              </w:rPr>
            </w:pPr>
          </w:p>
          <w:p w14:paraId="6367C659" w14:textId="77777777" w:rsidR="00B953CD" w:rsidRDefault="00717947" w:rsidP="00B953CD">
            <w:pPr>
              <w:pStyle w:val="TableParagraph"/>
              <w:numPr>
                <w:ilvl w:val="1"/>
                <w:numId w:val="3"/>
              </w:numPr>
              <w:tabs>
                <w:tab w:val="left" w:pos="691"/>
              </w:tabs>
              <w:ind w:left="0" w:firstLine="0"/>
              <w:jc w:val="both"/>
              <w:rPr>
                <w:b/>
                <w:i/>
                <w:sz w:val="24"/>
              </w:rPr>
            </w:pPr>
            <w:r>
              <w:rPr>
                <w:sz w:val="24"/>
                <w:lang w:val="en-US"/>
              </w:rPr>
              <w:t xml:space="preserve">Name of the registering authority which has carried out the state registration (additional issue) of securities: </w:t>
            </w:r>
            <w:r>
              <w:rPr>
                <w:b/>
                <w:i/>
                <w:sz w:val="24"/>
                <w:lang w:val="en-US"/>
              </w:rPr>
              <w:t>Bank of Russia</w:t>
            </w:r>
          </w:p>
          <w:p w14:paraId="1F311E40" w14:textId="77777777" w:rsidR="00B953CD" w:rsidRDefault="00717947" w:rsidP="00B953CD">
            <w:pPr>
              <w:pStyle w:val="TableParagraph"/>
              <w:ind w:left="0"/>
              <w:rPr>
                <w:b/>
                <w:sz w:val="23"/>
              </w:rPr>
            </w:pPr>
          </w:p>
          <w:p w14:paraId="3A622F87" w14:textId="77777777" w:rsidR="00B953CD" w:rsidRDefault="00717947" w:rsidP="00B953CD">
            <w:pPr>
              <w:pStyle w:val="TableParagraph"/>
              <w:numPr>
                <w:ilvl w:val="1"/>
                <w:numId w:val="3"/>
              </w:numPr>
              <w:tabs>
                <w:tab w:val="left" w:pos="523"/>
              </w:tabs>
              <w:ind w:left="0" w:firstLine="0"/>
              <w:jc w:val="both"/>
              <w:rPr>
                <w:b/>
                <w:i/>
                <w:sz w:val="24"/>
              </w:rPr>
            </w:pPr>
            <w:r>
              <w:rPr>
                <w:sz w:val="24"/>
                <w:lang w:val="en-US"/>
              </w:rPr>
              <w:t xml:space="preserve">The number of placing securities and the nominal value (if the nominal value is stipulated by the legislation of the Russian Federation) of each security: </w:t>
            </w:r>
            <w:r>
              <w:rPr>
                <w:b/>
                <w:i/>
                <w:sz w:val="24"/>
                <w:lang w:val="en-US"/>
              </w:rPr>
              <w:t>98,520,013,264 (Ninety-eight billion, five hundred and twenty million, thirteen thousand, two hundred</w:t>
            </w:r>
            <w:r>
              <w:rPr>
                <w:b/>
                <w:i/>
                <w:sz w:val="24"/>
                <w:lang w:val="en-US"/>
              </w:rPr>
              <w:t xml:space="preserve"> and sixty-four) with a nominal value of 10 (ten) kopecks each.</w:t>
            </w:r>
          </w:p>
          <w:p w14:paraId="63C6234F" w14:textId="77777777" w:rsidR="00B953CD" w:rsidRDefault="00717947" w:rsidP="00B953CD">
            <w:pPr>
              <w:pStyle w:val="TableParagraph"/>
              <w:ind w:left="0"/>
              <w:rPr>
                <w:b/>
                <w:sz w:val="24"/>
              </w:rPr>
            </w:pPr>
          </w:p>
          <w:p w14:paraId="434582AA" w14:textId="77777777" w:rsidR="00B953CD" w:rsidRDefault="00717947" w:rsidP="00B953CD">
            <w:pPr>
              <w:pStyle w:val="TableParagraph"/>
              <w:numPr>
                <w:ilvl w:val="1"/>
                <w:numId w:val="3"/>
              </w:numPr>
              <w:tabs>
                <w:tab w:val="left" w:pos="466"/>
              </w:tabs>
              <w:ind w:left="0" w:firstLine="0"/>
              <w:jc w:val="both"/>
              <w:rPr>
                <w:b/>
                <w:i/>
                <w:sz w:val="24"/>
              </w:rPr>
            </w:pPr>
            <w:r>
              <w:rPr>
                <w:sz w:val="24"/>
                <w:lang w:val="en-US"/>
              </w:rPr>
              <w:t xml:space="preserve">Method of placement of securities, and in case of placement of securities by closed subscription also the circle of potential buyers of securities: </w:t>
            </w:r>
            <w:r>
              <w:rPr>
                <w:b/>
                <w:i/>
                <w:sz w:val="24"/>
                <w:lang w:val="en-US"/>
              </w:rPr>
              <w:t>public offering.</w:t>
            </w:r>
          </w:p>
          <w:p w14:paraId="5CB27BFD" w14:textId="77777777" w:rsidR="00B953CD" w:rsidRDefault="00717947" w:rsidP="00B953CD">
            <w:pPr>
              <w:pStyle w:val="TableParagraph"/>
              <w:ind w:left="0"/>
              <w:rPr>
                <w:b/>
                <w:sz w:val="23"/>
              </w:rPr>
            </w:pPr>
          </w:p>
          <w:p w14:paraId="464B76A5" w14:textId="77777777" w:rsidR="00B953CD" w:rsidRPr="00B953CD" w:rsidRDefault="00717947" w:rsidP="00B953CD">
            <w:pPr>
              <w:pStyle w:val="TableParagraph"/>
              <w:numPr>
                <w:ilvl w:val="1"/>
                <w:numId w:val="3"/>
              </w:numPr>
              <w:tabs>
                <w:tab w:val="left" w:pos="459"/>
              </w:tabs>
              <w:ind w:left="0"/>
              <w:jc w:val="both"/>
              <w:rPr>
                <w:b/>
                <w:i/>
                <w:sz w:val="24"/>
              </w:rPr>
            </w:pPr>
            <w:r w:rsidRPr="00B953CD">
              <w:rPr>
                <w:sz w:val="24"/>
                <w:lang w:val="en-US"/>
              </w:rPr>
              <w:t>The price of the securiti</w:t>
            </w:r>
            <w:r w:rsidRPr="00B953CD">
              <w:rPr>
                <w:sz w:val="24"/>
                <w:lang w:val="en-US"/>
              </w:rPr>
              <w:t>es placement or the procedure for its determination or information that the said price or procedure for its determination will be established by the authorized management body of the issuer after the state registration of the issue (additional issue) of se</w:t>
            </w:r>
            <w:r w:rsidRPr="00B953CD">
              <w:rPr>
                <w:sz w:val="24"/>
                <w:lang w:val="en-US"/>
              </w:rPr>
              <w:t xml:space="preserve">curities (assignment of an identification number to the issue (additional issue) of securities) and not later than the date of the beginning of the securities placement: </w:t>
            </w:r>
            <w:r w:rsidRPr="00B953CD">
              <w:rPr>
                <w:b/>
                <w:i/>
                <w:sz w:val="24"/>
                <w:lang w:val="en-US"/>
              </w:rPr>
              <w:t xml:space="preserve">placement price of one additional ordinary registered uncertificated share (including </w:t>
            </w:r>
            <w:r w:rsidRPr="00B953CD">
              <w:rPr>
                <w:b/>
                <w:i/>
                <w:sz w:val="24"/>
                <w:lang w:val="en-US"/>
              </w:rPr>
              <w:t>persons included in the list of persons having a preemptive right to purchase additional shares to be placed) - 10 (Ten) kopecks.</w:t>
            </w:r>
          </w:p>
          <w:p w14:paraId="58137AB2" w14:textId="77777777" w:rsidR="00B953CD" w:rsidRDefault="00717947" w:rsidP="00B953CD">
            <w:pPr>
              <w:pStyle w:val="TableParagraph"/>
              <w:ind w:left="0"/>
              <w:rPr>
                <w:b/>
              </w:rPr>
            </w:pPr>
          </w:p>
          <w:p w14:paraId="7E56E7EF" w14:textId="77777777" w:rsidR="00B953CD" w:rsidRDefault="00717947" w:rsidP="00B953CD">
            <w:pPr>
              <w:pStyle w:val="TableParagraph"/>
              <w:numPr>
                <w:ilvl w:val="1"/>
                <w:numId w:val="2"/>
              </w:numPr>
              <w:tabs>
                <w:tab w:val="left" w:pos="646"/>
              </w:tabs>
              <w:ind w:left="0" w:firstLine="0"/>
              <w:jc w:val="both"/>
              <w:rPr>
                <w:b/>
                <w:i/>
                <w:sz w:val="24"/>
              </w:rPr>
            </w:pPr>
            <w:r>
              <w:rPr>
                <w:sz w:val="24"/>
                <w:lang w:val="en-US"/>
              </w:rPr>
              <w:lastRenderedPageBreak/>
              <w:t>Providing the issuer's shareholders (members) and (or) other persons with the preemptive right to purchase securities and the</w:t>
            </w:r>
            <w:r>
              <w:rPr>
                <w:sz w:val="24"/>
                <w:lang w:val="en-US"/>
              </w:rPr>
              <w:t xml:space="preserve"> date on which the persons having the preemptive right to purchase the securities being placed are determined (fixed): </w:t>
            </w:r>
            <w:r>
              <w:rPr>
                <w:b/>
                <w:i/>
                <w:sz w:val="24"/>
                <w:lang w:val="en-US"/>
              </w:rPr>
              <w:t>In accordance with Article 40 of the Federal Law</w:t>
            </w:r>
          </w:p>
          <w:p w14:paraId="670CC3E4" w14:textId="77777777" w:rsidR="00B953CD" w:rsidRDefault="00717947" w:rsidP="00B953CD">
            <w:pPr>
              <w:pStyle w:val="TableParagraph"/>
              <w:ind w:left="0"/>
              <w:jc w:val="both"/>
              <w:rPr>
                <w:b/>
                <w:i/>
                <w:sz w:val="24"/>
              </w:rPr>
            </w:pPr>
            <w:r>
              <w:rPr>
                <w:b/>
                <w:i/>
                <w:sz w:val="24"/>
                <w:lang w:val="en-US"/>
              </w:rPr>
              <w:t>"On Joint Stock Companies", the Issuer's shareholders have a preferential right to purch</w:t>
            </w:r>
            <w:r>
              <w:rPr>
                <w:b/>
                <w:i/>
                <w:sz w:val="24"/>
                <w:lang w:val="en-US"/>
              </w:rPr>
              <w:t>ase ordinary shares placed by public subscription in the amount proportional to the number of ordinary shares of the Issuer owned by them.</w:t>
            </w:r>
          </w:p>
          <w:p w14:paraId="6FC3FCA2" w14:textId="77777777" w:rsidR="00B953CD" w:rsidRDefault="00717947" w:rsidP="00B953CD">
            <w:pPr>
              <w:pStyle w:val="TableParagraph"/>
              <w:ind w:left="0"/>
              <w:jc w:val="both"/>
              <w:rPr>
                <w:b/>
                <w:i/>
                <w:sz w:val="24"/>
              </w:rPr>
            </w:pPr>
            <w:r>
              <w:rPr>
                <w:b/>
                <w:i/>
                <w:sz w:val="24"/>
                <w:lang w:val="en-US"/>
              </w:rPr>
              <w:t>The date on which persons having the preferential right to purchase the securities to be placed are determined (fixed</w:t>
            </w:r>
            <w:r>
              <w:rPr>
                <w:b/>
                <w:i/>
                <w:sz w:val="24"/>
                <w:lang w:val="en-US"/>
              </w:rPr>
              <w:t>): October 12, 2019.</w:t>
            </w:r>
          </w:p>
          <w:p w14:paraId="4CBFC7E4" w14:textId="77777777" w:rsidR="00B953CD" w:rsidRDefault="00717947" w:rsidP="00B953CD">
            <w:pPr>
              <w:pStyle w:val="TableParagraph"/>
              <w:ind w:left="0"/>
              <w:rPr>
                <w:b/>
                <w:sz w:val="23"/>
              </w:rPr>
            </w:pPr>
          </w:p>
          <w:p w14:paraId="7464452D" w14:textId="77777777" w:rsidR="00B953CD" w:rsidRDefault="00717947" w:rsidP="00B953CD">
            <w:pPr>
              <w:pStyle w:val="TableParagraph"/>
              <w:numPr>
                <w:ilvl w:val="1"/>
                <w:numId w:val="2"/>
              </w:numPr>
              <w:tabs>
                <w:tab w:val="left" w:pos="494"/>
              </w:tabs>
              <w:ind w:left="0" w:firstLine="0"/>
              <w:jc w:val="both"/>
              <w:rPr>
                <w:b/>
                <w:sz w:val="24"/>
              </w:rPr>
            </w:pPr>
            <w:r>
              <w:rPr>
                <w:sz w:val="24"/>
                <w:lang w:val="en-US"/>
              </w:rPr>
              <w:t xml:space="preserve">Originally defined by the issuer as the start date of the securities placement: </w:t>
            </w:r>
            <w:r>
              <w:rPr>
                <w:b/>
                <w:sz w:val="24"/>
                <w:lang w:val="en-US"/>
              </w:rPr>
              <w:t>December 23, 2019</w:t>
            </w:r>
          </w:p>
          <w:p w14:paraId="45BEB6E6" w14:textId="77777777" w:rsidR="00B953CD" w:rsidRDefault="00717947" w:rsidP="00B953CD">
            <w:pPr>
              <w:pStyle w:val="TableParagraph"/>
              <w:ind w:left="0"/>
              <w:rPr>
                <w:b/>
                <w:sz w:val="23"/>
              </w:rPr>
            </w:pPr>
          </w:p>
          <w:p w14:paraId="407B7098" w14:textId="77777777" w:rsidR="00B953CD" w:rsidRDefault="00717947" w:rsidP="00B953CD">
            <w:pPr>
              <w:pStyle w:val="TableParagraph"/>
              <w:numPr>
                <w:ilvl w:val="1"/>
                <w:numId w:val="2"/>
              </w:numPr>
              <w:tabs>
                <w:tab w:val="left" w:pos="655"/>
              </w:tabs>
              <w:ind w:left="0" w:firstLine="0"/>
              <w:jc w:val="both"/>
              <w:rPr>
                <w:b/>
                <w:sz w:val="24"/>
              </w:rPr>
            </w:pPr>
            <w:r>
              <w:rPr>
                <w:sz w:val="24"/>
                <w:lang w:val="en-US"/>
              </w:rPr>
              <w:t xml:space="preserve">Start date of the securities placement in accordance with the resolution of the Issuer to change the start date of the securities placement: </w:t>
            </w:r>
            <w:r>
              <w:rPr>
                <w:b/>
                <w:sz w:val="24"/>
                <w:lang w:val="en-US"/>
              </w:rPr>
              <w:t>December 24, 2019.</w:t>
            </w:r>
          </w:p>
          <w:p w14:paraId="5A9B454B" w14:textId="77777777" w:rsidR="00B953CD" w:rsidRDefault="00717947" w:rsidP="00B953CD">
            <w:pPr>
              <w:pStyle w:val="TableParagraph"/>
              <w:ind w:left="0"/>
              <w:rPr>
                <w:b/>
                <w:sz w:val="32"/>
              </w:rPr>
            </w:pPr>
          </w:p>
          <w:p w14:paraId="11BE326E" w14:textId="77777777" w:rsidR="00B953CD" w:rsidRDefault="00717947" w:rsidP="00B953CD">
            <w:pPr>
              <w:pStyle w:val="TableParagraph"/>
              <w:numPr>
                <w:ilvl w:val="1"/>
                <w:numId w:val="2"/>
              </w:numPr>
              <w:tabs>
                <w:tab w:val="left" w:pos="631"/>
              </w:tabs>
              <w:ind w:left="0" w:firstLine="0"/>
              <w:jc w:val="both"/>
              <w:rPr>
                <w:b/>
                <w:i/>
                <w:sz w:val="24"/>
              </w:rPr>
            </w:pPr>
            <w:r>
              <w:rPr>
                <w:sz w:val="24"/>
                <w:lang w:val="en-US"/>
              </w:rPr>
              <w:t>Indication that the start date of the placement can be changed provided that the information ab</w:t>
            </w:r>
            <w:r>
              <w:rPr>
                <w:sz w:val="24"/>
                <w:lang w:val="en-US"/>
              </w:rPr>
              <w:t xml:space="preserve">out it is published in the news line and on the Internet page no later than one day before the start date of the securities placement published in the said announcement: </w:t>
            </w:r>
            <w:r>
              <w:rPr>
                <w:b/>
                <w:i/>
                <w:sz w:val="24"/>
                <w:lang w:val="en-US"/>
              </w:rPr>
              <w:t>the placement commencement date may be changed provided that information about it is p</w:t>
            </w:r>
            <w:r>
              <w:rPr>
                <w:b/>
                <w:i/>
                <w:sz w:val="24"/>
                <w:lang w:val="en-US"/>
              </w:rPr>
              <w:t>ublished in the news feed and on the Internet page no later than one day prior to the commencement date of the securities placement published in the said announcement.</w:t>
            </w:r>
          </w:p>
          <w:p w14:paraId="48A153D1" w14:textId="77777777" w:rsidR="00B953CD" w:rsidRDefault="00717947" w:rsidP="00B953CD">
            <w:pPr>
              <w:pStyle w:val="TableParagraph"/>
              <w:ind w:left="0"/>
              <w:rPr>
                <w:b/>
                <w:sz w:val="24"/>
              </w:rPr>
            </w:pPr>
          </w:p>
          <w:p w14:paraId="7019590E" w14:textId="77777777" w:rsidR="00B953CD" w:rsidRDefault="00717947" w:rsidP="00B953CD">
            <w:pPr>
              <w:pStyle w:val="TableParagraph"/>
              <w:numPr>
                <w:ilvl w:val="1"/>
                <w:numId w:val="2"/>
              </w:numPr>
              <w:tabs>
                <w:tab w:val="left" w:pos="569"/>
              </w:tabs>
              <w:ind w:left="0" w:firstLine="0"/>
              <w:jc w:val="both"/>
              <w:rPr>
                <w:sz w:val="24"/>
              </w:rPr>
            </w:pPr>
            <w:r>
              <w:rPr>
                <w:sz w:val="24"/>
                <w:lang w:val="en-US"/>
              </w:rPr>
              <w:t>The end date of the securities placement or the procedure for determining it:</w:t>
            </w:r>
          </w:p>
          <w:p w14:paraId="177A7004" w14:textId="77777777" w:rsidR="00B953CD" w:rsidRDefault="00717947" w:rsidP="00B953CD">
            <w:pPr>
              <w:pStyle w:val="TableParagraph"/>
              <w:ind w:left="0"/>
              <w:jc w:val="both"/>
              <w:rPr>
                <w:b/>
                <w:i/>
                <w:sz w:val="24"/>
              </w:rPr>
            </w:pPr>
            <w:r>
              <w:rPr>
                <w:b/>
                <w:i/>
                <w:sz w:val="24"/>
                <w:lang w:val="en-US"/>
              </w:rPr>
              <w:t>The end d</w:t>
            </w:r>
            <w:r>
              <w:rPr>
                <w:b/>
                <w:i/>
                <w:sz w:val="24"/>
                <w:lang w:val="en-US"/>
              </w:rPr>
              <w:t>ate for the placement of securities of additional issue is 17 (the Seventeenth) business day from the end date for the offers submission  to purchase additional shares by open subscription, specified in clause 8.3 of the decision on the additional issue of</w:t>
            </w:r>
            <w:r>
              <w:rPr>
                <w:b/>
                <w:i/>
                <w:sz w:val="24"/>
                <w:lang w:val="en-US"/>
              </w:rPr>
              <w:t xml:space="preserve"> securities (hereinafter referred to as the “End Date for the Securities Placement” )</w:t>
            </w:r>
          </w:p>
          <w:p w14:paraId="4F27FBBB" w14:textId="77777777" w:rsidR="00B953CD" w:rsidRDefault="00717947" w:rsidP="00B953CD">
            <w:pPr>
              <w:pStyle w:val="TableParagraph"/>
              <w:ind w:left="0"/>
              <w:jc w:val="both"/>
              <w:rPr>
                <w:b/>
                <w:i/>
                <w:sz w:val="24"/>
              </w:rPr>
            </w:pPr>
            <w:r>
              <w:rPr>
                <w:b/>
                <w:i/>
                <w:sz w:val="24"/>
                <w:lang w:val="en-US"/>
              </w:rPr>
              <w:t>The term for the placement of securities shall not be more than one year from the date of state registration of the equity securities additional issue.</w:t>
            </w:r>
          </w:p>
        </w:tc>
      </w:tr>
      <w:tr w:rsidR="004530E8" w14:paraId="0AF41902" w14:textId="77777777" w:rsidTr="0027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79213B7D" w14:textId="77777777" w:rsidR="00B953CD" w:rsidRDefault="00717947" w:rsidP="00327AEE">
            <w:pPr>
              <w:pStyle w:val="TableParagraph"/>
              <w:ind w:left="0"/>
              <w:jc w:val="center"/>
              <w:rPr>
                <w:sz w:val="24"/>
              </w:rPr>
            </w:pPr>
            <w:r>
              <w:rPr>
                <w:sz w:val="24"/>
                <w:lang w:val="en-US"/>
              </w:rPr>
              <w:lastRenderedPageBreak/>
              <w:t xml:space="preserve">3. </w:t>
            </w:r>
            <w:r>
              <w:rPr>
                <w:sz w:val="24"/>
                <w:lang w:val="en-US"/>
              </w:rPr>
              <w:t>Signature</w:t>
            </w:r>
          </w:p>
        </w:tc>
      </w:tr>
      <w:tr w:rsidR="004530E8" w14:paraId="134A902A" w14:textId="77777777" w:rsidTr="0027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51701919" w14:textId="77777777" w:rsidR="00B953CD" w:rsidRDefault="00717947" w:rsidP="00327AEE">
            <w:pPr>
              <w:pStyle w:val="TableParagraph"/>
              <w:ind w:left="0"/>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547FB6D6" w14:textId="77777777" w:rsidR="00B953CD" w:rsidRDefault="00717947" w:rsidP="00327AEE">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42961904" w14:textId="77777777" w:rsidR="00B953CD" w:rsidRDefault="00717947" w:rsidP="00327AEE">
            <w:pPr>
              <w:pStyle w:val="TableParagraph"/>
              <w:tabs>
                <w:tab w:val="left" w:pos="5729"/>
                <w:tab w:val="left" w:pos="5854"/>
                <w:tab w:val="left" w:pos="7224"/>
                <w:tab w:val="left" w:pos="7774"/>
              </w:tabs>
              <w:ind w:left="0"/>
            </w:pPr>
            <w:r>
              <w:rPr>
                <w:sz w:val="24"/>
                <w:lang w:val="en-US"/>
              </w:rPr>
              <w:t>Pavlova E.N.</w:t>
            </w:r>
          </w:p>
        </w:tc>
      </w:tr>
      <w:tr w:rsidR="004530E8" w14:paraId="4BDC16AC"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E894957" w14:textId="77777777" w:rsidR="00B953CD" w:rsidRDefault="00717947" w:rsidP="00327AEE">
            <w:pPr>
              <w:pStyle w:val="TableParagraph"/>
              <w:tabs>
                <w:tab w:val="left" w:pos="5729"/>
                <w:tab w:val="left" w:pos="5854"/>
                <w:tab w:val="left" w:pos="7224"/>
                <w:tab w:val="left" w:pos="7774"/>
              </w:tabs>
              <w:ind w:left="0"/>
              <w:rPr>
                <w:sz w:val="24"/>
              </w:rPr>
            </w:pPr>
          </w:p>
        </w:tc>
        <w:tc>
          <w:tcPr>
            <w:tcW w:w="733" w:type="pct"/>
          </w:tcPr>
          <w:p w14:paraId="63CF5D47" w14:textId="1A33128C" w:rsidR="00B953CD" w:rsidRDefault="00717947"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253A625B" w14:textId="77777777" w:rsidR="00B953CD" w:rsidRDefault="00717947" w:rsidP="00327AEE">
            <w:pPr>
              <w:pStyle w:val="TableParagraph"/>
              <w:tabs>
                <w:tab w:val="left" w:pos="5729"/>
                <w:tab w:val="left" w:pos="5854"/>
                <w:tab w:val="left" w:pos="7224"/>
                <w:tab w:val="left" w:pos="7774"/>
              </w:tabs>
              <w:ind w:left="0"/>
            </w:pPr>
          </w:p>
        </w:tc>
      </w:tr>
      <w:tr w:rsidR="004530E8" w14:paraId="560F4737"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555EA79D" w14:textId="77777777" w:rsidR="00B953CD" w:rsidRDefault="00717947" w:rsidP="00327AEE">
            <w:pPr>
              <w:pStyle w:val="TableParagraph"/>
              <w:ind w:left="0"/>
              <w:rPr>
                <w:sz w:val="24"/>
              </w:rPr>
            </w:pPr>
            <w:r>
              <w:rPr>
                <w:sz w:val="24"/>
                <w:lang w:val="en-US"/>
              </w:rPr>
              <w:t>3.2. Date</w:t>
            </w:r>
          </w:p>
        </w:tc>
        <w:tc>
          <w:tcPr>
            <w:tcW w:w="467" w:type="pct"/>
            <w:tcBorders>
              <w:bottom w:val="single" w:sz="4" w:space="0" w:color="000000"/>
            </w:tcBorders>
          </w:tcPr>
          <w:p w14:paraId="2B5117CA" w14:textId="77777777" w:rsidR="00B953CD" w:rsidRPr="00F33787" w:rsidRDefault="00717947" w:rsidP="00B953CD">
            <w:pPr>
              <w:pStyle w:val="TableParagraph"/>
              <w:ind w:left="0"/>
              <w:rPr>
                <w:sz w:val="24"/>
              </w:rPr>
            </w:pPr>
            <w:r w:rsidRPr="00F33787">
              <w:rPr>
                <w:sz w:val="24"/>
                <w:lang w:val="en-US"/>
              </w:rPr>
              <w:t>December</w:t>
            </w:r>
          </w:p>
        </w:tc>
        <w:tc>
          <w:tcPr>
            <w:tcW w:w="668" w:type="pct"/>
            <w:tcBorders>
              <w:bottom w:val="single" w:sz="4" w:space="0" w:color="000000"/>
            </w:tcBorders>
          </w:tcPr>
          <w:p w14:paraId="610A6D7B" w14:textId="77777777" w:rsidR="00B953CD" w:rsidRPr="00F33787" w:rsidRDefault="00717947" w:rsidP="00327AEE">
            <w:pPr>
              <w:pStyle w:val="TableParagraph"/>
              <w:ind w:left="0"/>
              <w:rPr>
                <w:sz w:val="24"/>
              </w:rPr>
            </w:pPr>
            <w:r>
              <w:rPr>
                <w:sz w:val="24"/>
                <w:lang w:val="en-US"/>
              </w:rPr>
              <w:t>"23",</w:t>
            </w:r>
          </w:p>
        </w:tc>
        <w:tc>
          <w:tcPr>
            <w:tcW w:w="3233" w:type="pct"/>
            <w:gridSpan w:val="4"/>
            <w:tcBorders>
              <w:bottom w:val="single" w:sz="4" w:space="0" w:color="000000"/>
              <w:right w:val="single" w:sz="4" w:space="0" w:color="000000"/>
            </w:tcBorders>
          </w:tcPr>
          <w:p w14:paraId="6817045D" w14:textId="77777777" w:rsidR="00B953CD" w:rsidRPr="00F33787" w:rsidRDefault="00717947" w:rsidP="00327AEE">
            <w:pPr>
              <w:pStyle w:val="TableParagraph"/>
              <w:spacing w:after="120"/>
              <w:ind w:left="0"/>
              <w:rPr>
                <w:sz w:val="24"/>
              </w:rPr>
            </w:pPr>
            <w:r w:rsidRPr="00F33787">
              <w:rPr>
                <w:sz w:val="24"/>
                <w:lang w:val="en-US"/>
              </w:rPr>
              <w:t>2019</w:t>
            </w:r>
          </w:p>
        </w:tc>
      </w:tr>
    </w:tbl>
    <w:p w14:paraId="232BE43F" w14:textId="77777777" w:rsidR="00B953CD" w:rsidRDefault="00717947" w:rsidP="00B953CD"/>
    <w:sectPr w:rsidR="00B953CD" w:rsidSect="00B953CD">
      <w:pgSz w:w="11910" w:h="16850"/>
      <w:pgMar w:top="1135"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62949"/>
    <w:multiLevelType w:val="multilevel"/>
    <w:tmpl w:val="7B5AD0C2"/>
    <w:lvl w:ilvl="0">
      <w:start w:val="2"/>
      <w:numFmt w:val="decimal"/>
      <w:lvlText w:val="%1"/>
      <w:lvlJc w:val="left"/>
      <w:pPr>
        <w:ind w:left="28" w:hanging="488"/>
        <w:jc w:val="left"/>
      </w:pPr>
      <w:rPr>
        <w:rFonts w:hint="default"/>
        <w:lang w:val="ru-RU" w:eastAsia="ru-RU" w:bidi="ru-RU"/>
      </w:rPr>
    </w:lvl>
    <w:lvl w:ilvl="1">
      <w:start w:val="1"/>
      <w:numFmt w:val="decimal"/>
      <w:lvlText w:val="%1.%2."/>
      <w:lvlJc w:val="left"/>
      <w:pPr>
        <w:ind w:left="28" w:hanging="488"/>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1914" w:hanging="488"/>
      </w:pPr>
      <w:rPr>
        <w:rFonts w:hint="default"/>
        <w:lang w:val="ru-RU" w:eastAsia="ru-RU" w:bidi="ru-RU"/>
      </w:rPr>
    </w:lvl>
    <w:lvl w:ilvl="3">
      <w:numFmt w:val="bullet"/>
      <w:lvlText w:val="•"/>
      <w:lvlJc w:val="left"/>
      <w:pPr>
        <w:ind w:left="2861" w:hanging="488"/>
      </w:pPr>
      <w:rPr>
        <w:rFonts w:hint="default"/>
        <w:lang w:val="ru-RU" w:eastAsia="ru-RU" w:bidi="ru-RU"/>
      </w:rPr>
    </w:lvl>
    <w:lvl w:ilvl="4">
      <w:numFmt w:val="bullet"/>
      <w:lvlText w:val="•"/>
      <w:lvlJc w:val="left"/>
      <w:pPr>
        <w:ind w:left="3808" w:hanging="488"/>
      </w:pPr>
      <w:rPr>
        <w:rFonts w:hint="default"/>
        <w:lang w:val="ru-RU" w:eastAsia="ru-RU" w:bidi="ru-RU"/>
      </w:rPr>
    </w:lvl>
    <w:lvl w:ilvl="5">
      <w:numFmt w:val="bullet"/>
      <w:lvlText w:val="•"/>
      <w:lvlJc w:val="left"/>
      <w:pPr>
        <w:ind w:left="4756" w:hanging="488"/>
      </w:pPr>
      <w:rPr>
        <w:rFonts w:hint="default"/>
        <w:lang w:val="ru-RU" w:eastAsia="ru-RU" w:bidi="ru-RU"/>
      </w:rPr>
    </w:lvl>
    <w:lvl w:ilvl="6">
      <w:numFmt w:val="bullet"/>
      <w:lvlText w:val="•"/>
      <w:lvlJc w:val="left"/>
      <w:pPr>
        <w:ind w:left="5703" w:hanging="488"/>
      </w:pPr>
      <w:rPr>
        <w:rFonts w:hint="default"/>
        <w:lang w:val="ru-RU" w:eastAsia="ru-RU" w:bidi="ru-RU"/>
      </w:rPr>
    </w:lvl>
    <w:lvl w:ilvl="7">
      <w:numFmt w:val="bullet"/>
      <w:lvlText w:val="•"/>
      <w:lvlJc w:val="left"/>
      <w:pPr>
        <w:ind w:left="6650" w:hanging="488"/>
      </w:pPr>
      <w:rPr>
        <w:rFonts w:hint="default"/>
        <w:lang w:val="ru-RU" w:eastAsia="ru-RU" w:bidi="ru-RU"/>
      </w:rPr>
    </w:lvl>
    <w:lvl w:ilvl="8">
      <w:numFmt w:val="bullet"/>
      <w:lvlText w:val="•"/>
      <w:lvlJc w:val="left"/>
      <w:pPr>
        <w:ind w:left="7597" w:hanging="488"/>
      </w:pPr>
      <w:rPr>
        <w:rFonts w:hint="default"/>
        <w:lang w:val="ru-RU" w:eastAsia="ru-RU" w:bidi="ru-RU"/>
      </w:rPr>
    </w:lvl>
  </w:abstractNum>
  <w:abstractNum w:abstractNumId="1" w15:restartNumberingAfterBreak="0">
    <w:nsid w:val="2C114B3C"/>
    <w:multiLevelType w:val="multilevel"/>
    <w:tmpl w:val="1AD6F350"/>
    <w:lvl w:ilvl="0">
      <w:start w:val="2"/>
      <w:numFmt w:val="decimal"/>
      <w:lvlText w:val="%1"/>
      <w:lvlJc w:val="left"/>
      <w:pPr>
        <w:ind w:left="28" w:hanging="617"/>
        <w:jc w:val="left"/>
      </w:pPr>
      <w:rPr>
        <w:rFonts w:hint="default"/>
        <w:lang w:val="ru-RU" w:eastAsia="ru-RU" w:bidi="ru-RU"/>
      </w:rPr>
    </w:lvl>
    <w:lvl w:ilvl="1">
      <w:start w:val="8"/>
      <w:numFmt w:val="decimal"/>
      <w:lvlText w:val="%1.%2."/>
      <w:lvlJc w:val="left"/>
      <w:pPr>
        <w:ind w:left="28" w:hanging="617"/>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1914" w:hanging="617"/>
      </w:pPr>
      <w:rPr>
        <w:rFonts w:hint="default"/>
        <w:lang w:val="ru-RU" w:eastAsia="ru-RU" w:bidi="ru-RU"/>
      </w:rPr>
    </w:lvl>
    <w:lvl w:ilvl="3">
      <w:numFmt w:val="bullet"/>
      <w:lvlText w:val="•"/>
      <w:lvlJc w:val="left"/>
      <w:pPr>
        <w:ind w:left="2861" w:hanging="617"/>
      </w:pPr>
      <w:rPr>
        <w:rFonts w:hint="default"/>
        <w:lang w:val="ru-RU" w:eastAsia="ru-RU" w:bidi="ru-RU"/>
      </w:rPr>
    </w:lvl>
    <w:lvl w:ilvl="4">
      <w:numFmt w:val="bullet"/>
      <w:lvlText w:val="•"/>
      <w:lvlJc w:val="left"/>
      <w:pPr>
        <w:ind w:left="3808" w:hanging="617"/>
      </w:pPr>
      <w:rPr>
        <w:rFonts w:hint="default"/>
        <w:lang w:val="ru-RU" w:eastAsia="ru-RU" w:bidi="ru-RU"/>
      </w:rPr>
    </w:lvl>
    <w:lvl w:ilvl="5">
      <w:numFmt w:val="bullet"/>
      <w:lvlText w:val="•"/>
      <w:lvlJc w:val="left"/>
      <w:pPr>
        <w:ind w:left="4755" w:hanging="617"/>
      </w:pPr>
      <w:rPr>
        <w:rFonts w:hint="default"/>
        <w:lang w:val="ru-RU" w:eastAsia="ru-RU" w:bidi="ru-RU"/>
      </w:rPr>
    </w:lvl>
    <w:lvl w:ilvl="6">
      <w:numFmt w:val="bullet"/>
      <w:lvlText w:val="•"/>
      <w:lvlJc w:val="left"/>
      <w:pPr>
        <w:ind w:left="5702" w:hanging="617"/>
      </w:pPr>
      <w:rPr>
        <w:rFonts w:hint="default"/>
        <w:lang w:val="ru-RU" w:eastAsia="ru-RU" w:bidi="ru-RU"/>
      </w:rPr>
    </w:lvl>
    <w:lvl w:ilvl="7">
      <w:numFmt w:val="bullet"/>
      <w:lvlText w:val="•"/>
      <w:lvlJc w:val="left"/>
      <w:pPr>
        <w:ind w:left="6649" w:hanging="617"/>
      </w:pPr>
      <w:rPr>
        <w:rFonts w:hint="default"/>
        <w:lang w:val="ru-RU" w:eastAsia="ru-RU" w:bidi="ru-RU"/>
      </w:rPr>
    </w:lvl>
    <w:lvl w:ilvl="8">
      <w:numFmt w:val="bullet"/>
      <w:lvlText w:val="•"/>
      <w:lvlJc w:val="left"/>
      <w:pPr>
        <w:ind w:left="7596" w:hanging="617"/>
      </w:pPr>
      <w:rPr>
        <w:rFonts w:hint="default"/>
        <w:lang w:val="ru-RU" w:eastAsia="ru-RU" w:bidi="ru-RU"/>
      </w:rPr>
    </w:lvl>
  </w:abstractNum>
  <w:abstractNum w:abstractNumId="2" w15:restartNumberingAfterBreak="0">
    <w:nsid w:val="33BB443E"/>
    <w:multiLevelType w:val="multilevel"/>
    <w:tmpl w:val="FD3C8E5A"/>
    <w:lvl w:ilvl="0">
      <w:start w:val="3"/>
      <w:numFmt w:val="decimal"/>
      <w:lvlText w:val="%1"/>
      <w:lvlJc w:val="left"/>
      <w:pPr>
        <w:ind w:left="448" w:hanging="420"/>
        <w:jc w:val="left"/>
      </w:pPr>
      <w:rPr>
        <w:rFonts w:hint="default"/>
        <w:lang w:val="ru-RU" w:eastAsia="ru-RU" w:bidi="ru-RU"/>
      </w:rPr>
    </w:lvl>
    <w:lvl w:ilvl="1">
      <w:start w:val="1"/>
      <w:numFmt w:val="decimal"/>
      <w:lvlText w:val="%1.%2."/>
      <w:lvlJc w:val="left"/>
      <w:pPr>
        <w:ind w:left="448"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250" w:hanging="420"/>
      </w:pPr>
      <w:rPr>
        <w:rFonts w:hint="default"/>
        <w:lang w:val="ru-RU" w:eastAsia="ru-RU" w:bidi="ru-RU"/>
      </w:rPr>
    </w:lvl>
    <w:lvl w:ilvl="3">
      <w:numFmt w:val="bullet"/>
      <w:lvlText w:val="•"/>
      <w:lvlJc w:val="left"/>
      <w:pPr>
        <w:ind w:left="3155" w:hanging="420"/>
      </w:pPr>
      <w:rPr>
        <w:rFonts w:hint="default"/>
        <w:lang w:val="ru-RU" w:eastAsia="ru-RU" w:bidi="ru-RU"/>
      </w:rPr>
    </w:lvl>
    <w:lvl w:ilvl="4">
      <w:numFmt w:val="bullet"/>
      <w:lvlText w:val="•"/>
      <w:lvlJc w:val="left"/>
      <w:pPr>
        <w:ind w:left="4060" w:hanging="420"/>
      </w:pPr>
      <w:rPr>
        <w:rFonts w:hint="default"/>
        <w:lang w:val="ru-RU" w:eastAsia="ru-RU" w:bidi="ru-RU"/>
      </w:rPr>
    </w:lvl>
    <w:lvl w:ilvl="5">
      <w:numFmt w:val="bullet"/>
      <w:lvlText w:val="•"/>
      <w:lvlJc w:val="left"/>
      <w:pPr>
        <w:ind w:left="4965" w:hanging="420"/>
      </w:pPr>
      <w:rPr>
        <w:rFonts w:hint="default"/>
        <w:lang w:val="ru-RU" w:eastAsia="ru-RU" w:bidi="ru-RU"/>
      </w:rPr>
    </w:lvl>
    <w:lvl w:ilvl="6">
      <w:numFmt w:val="bullet"/>
      <w:lvlText w:val="•"/>
      <w:lvlJc w:val="left"/>
      <w:pPr>
        <w:ind w:left="5870" w:hanging="420"/>
      </w:pPr>
      <w:rPr>
        <w:rFonts w:hint="default"/>
        <w:lang w:val="ru-RU" w:eastAsia="ru-RU" w:bidi="ru-RU"/>
      </w:rPr>
    </w:lvl>
    <w:lvl w:ilvl="7">
      <w:numFmt w:val="bullet"/>
      <w:lvlText w:val="•"/>
      <w:lvlJc w:val="left"/>
      <w:pPr>
        <w:ind w:left="6775" w:hanging="420"/>
      </w:pPr>
      <w:rPr>
        <w:rFonts w:hint="default"/>
        <w:lang w:val="ru-RU" w:eastAsia="ru-RU" w:bidi="ru-RU"/>
      </w:rPr>
    </w:lvl>
    <w:lvl w:ilvl="8">
      <w:numFmt w:val="bullet"/>
      <w:lvlText w:val="•"/>
      <w:lvlJc w:val="left"/>
      <w:pPr>
        <w:ind w:left="7680" w:hanging="420"/>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530E8"/>
    <w:rsid w:val="004530E8"/>
    <w:rsid w:val="0071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89AE"/>
  <w15:docId w15:val="{2281D071-6BAC-415A-AD49-53DAE94A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0777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60777E"/>
    <w:tblPr>
      <w:tblInd w:w="0" w:type="dxa"/>
      <w:tblCellMar>
        <w:top w:w="0" w:type="dxa"/>
        <w:left w:w="0" w:type="dxa"/>
        <w:bottom w:w="0" w:type="dxa"/>
        <w:right w:w="0" w:type="dxa"/>
      </w:tblCellMar>
    </w:tblPr>
  </w:style>
  <w:style w:type="paragraph" w:styleId="a3">
    <w:name w:val="Body Text"/>
    <w:basedOn w:val="a"/>
    <w:uiPriority w:val="1"/>
    <w:qFormat/>
    <w:rsid w:val="0060777E"/>
    <w:pPr>
      <w:ind w:left="681"/>
      <w:jc w:val="center"/>
    </w:pPr>
    <w:rPr>
      <w:b/>
      <w:bCs/>
      <w:sz w:val="24"/>
      <w:szCs w:val="24"/>
    </w:rPr>
  </w:style>
  <w:style w:type="paragraph" w:styleId="a4">
    <w:name w:val="List Paragraph"/>
    <w:basedOn w:val="a"/>
    <w:uiPriority w:val="1"/>
    <w:qFormat/>
    <w:rsid w:val="0060777E"/>
  </w:style>
  <w:style w:type="paragraph" w:customStyle="1" w:styleId="TableParagraph">
    <w:name w:val="Table Paragraph"/>
    <w:basedOn w:val="a"/>
    <w:uiPriority w:val="1"/>
    <w:qFormat/>
    <w:rsid w:val="0060777E"/>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Электронная Анкета ФКЦБ России 2.5.3</dc:creator>
  <cp:lastModifiedBy>Елизавета Пантина</cp:lastModifiedBy>
  <cp:revision>5</cp:revision>
  <dcterms:created xsi:type="dcterms:W3CDTF">2019-12-29T07:37:00Z</dcterms:created>
  <dcterms:modified xsi:type="dcterms:W3CDTF">2020-01-20T13:36:00Z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2016</vt:lpwstr>
  </property>
  <property fmtid="{D5CDD505-2E9C-101B-9397-08002B2CF9AE}" pid="4" name="LastSaved">
    <vt:filetime>2019-12-29T00:00:00Z</vt:filetime>
  </property>
</Properties>
</file>